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0CA3" w:rsidTr="00616D67">
        <w:tc>
          <w:tcPr>
            <w:tcW w:w="9576" w:type="dxa"/>
            <w:shd w:val="pct15" w:color="auto" w:fill="auto"/>
          </w:tcPr>
          <w:p w:rsidR="00E47AB4" w:rsidRDefault="00E47AB4" w:rsidP="006A3F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Unit Name:</w:t>
            </w:r>
          </w:p>
          <w:p w:rsidR="00442939" w:rsidRPr="00442939" w:rsidRDefault="00DA24E9" w:rsidP="006A3FCF">
            <w:pPr>
              <w:ind w:left="7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Decimal Place Value</w:t>
            </w:r>
          </w:p>
        </w:tc>
      </w:tr>
      <w:tr w:rsidR="00616D67" w:rsidTr="00F55A24">
        <w:tc>
          <w:tcPr>
            <w:tcW w:w="9576" w:type="dxa"/>
          </w:tcPr>
          <w:p w:rsidR="00E91C45" w:rsidRDefault="00616D67" w:rsidP="00E91C45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Common Core State Standards:</w:t>
            </w:r>
          </w:p>
          <w:p w:rsidR="00DA24E9" w:rsidRPr="00DF4697" w:rsidRDefault="00DF4697" w:rsidP="00DF469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F4697">
              <w:rPr>
                <w:b/>
                <w:sz w:val="22"/>
              </w:rPr>
              <w:t>5. NBT. 3</w:t>
            </w:r>
            <w:r w:rsidRPr="00DF4697">
              <w:rPr>
                <w:sz w:val="22"/>
              </w:rPr>
              <w:t xml:space="preserve"> </w:t>
            </w:r>
            <w:r w:rsidR="00DA24E9" w:rsidRPr="00DF4697">
              <w:rPr>
                <w:sz w:val="22"/>
              </w:rPr>
              <w:t>Read, write, and compare decimals t</w:t>
            </w:r>
            <w:bookmarkStart w:id="0" w:name="_GoBack"/>
            <w:bookmarkEnd w:id="0"/>
            <w:r w:rsidR="00DA24E9" w:rsidRPr="00DF4697">
              <w:rPr>
                <w:sz w:val="22"/>
              </w:rPr>
              <w:t>o thousandths.</w:t>
            </w:r>
          </w:p>
          <w:p w:rsidR="00DA24E9" w:rsidRPr="00DF4697" w:rsidRDefault="00DA24E9" w:rsidP="00DF469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F4697">
              <w:rPr>
                <w:sz w:val="22"/>
              </w:rPr>
              <w:t>a. Read and write decimals to thousandths using base-ten numerals, number names, and expanded form, e.g., 347.392 = 3 × 100 + 4 × 10 + 7 × 1 + 3 × (1/10) + 9 × (1/100) + 2 × (1/1000).</w:t>
            </w:r>
          </w:p>
          <w:p w:rsidR="00442939" w:rsidRPr="0012450F" w:rsidRDefault="00DA24E9" w:rsidP="001245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F4697">
              <w:rPr>
                <w:sz w:val="22"/>
              </w:rPr>
              <w:t>b. Compare two decimals to thousandths based on meanings of the digits in each place, using &gt;;, =, and &lt; symbols to record the results of comparisons.</w:t>
            </w:r>
          </w:p>
        </w:tc>
      </w:tr>
      <w:tr w:rsidR="00290CA3" w:rsidTr="002E588E">
        <w:tc>
          <w:tcPr>
            <w:tcW w:w="9576" w:type="dxa"/>
          </w:tcPr>
          <w:p w:rsidR="00290CA3" w:rsidRP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Essential Vocabulary:</w:t>
            </w:r>
          </w:p>
          <w:p w:rsidR="00DF4697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F4697">
              <w:rPr>
                <w:rFonts w:ascii="Times New Roman" w:hAnsi="Times New Roman" w:cs="Times New Roman"/>
              </w:rPr>
              <w:t>nes</w:t>
            </w:r>
          </w:p>
          <w:p w:rsidR="00DF4697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F4697">
              <w:rPr>
                <w:rFonts w:ascii="Times New Roman" w:hAnsi="Times New Roman" w:cs="Times New Roman"/>
              </w:rPr>
              <w:t>enths</w:t>
            </w:r>
          </w:p>
          <w:p w:rsidR="00DF4697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DF4697">
              <w:rPr>
                <w:rFonts w:ascii="Times New Roman" w:hAnsi="Times New Roman" w:cs="Times New Roman"/>
              </w:rPr>
              <w:t xml:space="preserve">undredths </w:t>
            </w:r>
          </w:p>
          <w:p w:rsidR="008B2103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F4697">
              <w:rPr>
                <w:rFonts w:ascii="Times New Roman" w:hAnsi="Times New Roman" w:cs="Times New Roman"/>
              </w:rPr>
              <w:t>housandth</w:t>
            </w:r>
          </w:p>
          <w:p w:rsidR="00DF4697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F4697">
              <w:rPr>
                <w:rFonts w:ascii="Times New Roman" w:hAnsi="Times New Roman" w:cs="Times New Roman"/>
              </w:rPr>
              <w:t>lace value chart</w:t>
            </w:r>
          </w:p>
          <w:p w:rsidR="00DF4697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F4697">
              <w:rPr>
                <w:rFonts w:ascii="Times New Roman" w:hAnsi="Times New Roman" w:cs="Times New Roman"/>
              </w:rPr>
              <w:t>quality</w:t>
            </w:r>
          </w:p>
          <w:p w:rsidR="00DF4697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F4697">
              <w:rPr>
                <w:rFonts w:ascii="Times New Roman" w:hAnsi="Times New Roman" w:cs="Times New Roman"/>
              </w:rPr>
              <w:t>nequality</w:t>
            </w:r>
          </w:p>
          <w:p w:rsidR="00DF4697" w:rsidRDefault="006935DD" w:rsidP="008B2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F4697">
              <w:rPr>
                <w:rFonts w:ascii="Times New Roman" w:hAnsi="Times New Roman" w:cs="Times New Roman"/>
              </w:rPr>
              <w:t>ecimal secret code cards (place value cards)</w:t>
            </w:r>
          </w:p>
          <w:p w:rsidR="00442939" w:rsidRPr="00DF4697" w:rsidRDefault="006935DD" w:rsidP="00DF46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F4697">
              <w:rPr>
                <w:rFonts w:ascii="Times New Roman" w:hAnsi="Times New Roman" w:cs="Times New Roman"/>
              </w:rPr>
              <w:t>xpanded form</w:t>
            </w:r>
          </w:p>
        </w:tc>
      </w:tr>
      <w:tr w:rsidR="00290CA3" w:rsidTr="00826230">
        <w:tc>
          <w:tcPr>
            <w:tcW w:w="9576" w:type="dxa"/>
          </w:tcPr>
          <w:p w:rsid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Unit Overview:</w:t>
            </w:r>
          </w:p>
          <w:p w:rsidR="00DF4697" w:rsidRPr="003C5062" w:rsidRDefault="00DF4697" w:rsidP="0053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697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 will </w:t>
            </w:r>
            <w:r w:rsidRPr="00DF4697">
              <w:rPr>
                <w:rFonts w:ascii="Times New Roman" w:hAnsi="Times New Roman" w:cs="Times New Roman"/>
              </w:rPr>
              <w:t xml:space="preserve">build on their </w:t>
            </w:r>
            <w:r>
              <w:rPr>
                <w:rFonts w:ascii="Times New Roman" w:hAnsi="Times New Roman" w:cs="Times New Roman"/>
              </w:rPr>
              <w:t xml:space="preserve">decimal </w:t>
            </w:r>
            <w:r w:rsidRPr="00DF4697">
              <w:rPr>
                <w:rFonts w:ascii="Times New Roman" w:hAnsi="Times New Roman" w:cs="Times New Roman"/>
              </w:rPr>
              <w:t>work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97">
              <w:rPr>
                <w:rFonts w:ascii="Times New Roman" w:hAnsi="Times New Roman" w:cs="Times New Roman"/>
              </w:rPr>
              <w:t xml:space="preserve">from </w:t>
            </w:r>
            <w:r w:rsidR="005B789B">
              <w:rPr>
                <w:rFonts w:ascii="Times New Roman" w:hAnsi="Times New Roman" w:cs="Times New Roman"/>
              </w:rPr>
              <w:t>f</w:t>
            </w:r>
            <w:r w:rsidRPr="00DF4697">
              <w:rPr>
                <w:rFonts w:ascii="Times New Roman" w:hAnsi="Times New Roman" w:cs="Times New Roman"/>
              </w:rPr>
              <w:t xml:space="preserve">ourth </w:t>
            </w:r>
            <w:r w:rsidR="005B789B">
              <w:rPr>
                <w:rFonts w:ascii="Times New Roman" w:hAnsi="Times New Roman" w:cs="Times New Roman"/>
              </w:rPr>
              <w:t>g</w:t>
            </w:r>
            <w:r w:rsidRPr="00DF4697">
              <w:rPr>
                <w:rFonts w:ascii="Times New Roman" w:hAnsi="Times New Roman" w:cs="Times New Roman"/>
              </w:rPr>
              <w:t>rade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5B789B" w:rsidRPr="00DF4697">
              <w:rPr>
                <w:rFonts w:ascii="Times New Roman" w:hAnsi="Times New Roman" w:cs="Times New Roman"/>
              </w:rPr>
              <w:t>Expanded form deepen</w:t>
            </w:r>
            <w:r w:rsidR="005B789B">
              <w:rPr>
                <w:rFonts w:ascii="Times New Roman" w:hAnsi="Times New Roman" w:cs="Times New Roman"/>
              </w:rPr>
              <w:t>s</w:t>
            </w:r>
            <w:r w:rsidR="005B789B" w:rsidRPr="00DF4697">
              <w:rPr>
                <w:rFonts w:ascii="Times New Roman" w:hAnsi="Times New Roman" w:cs="Times New Roman"/>
              </w:rPr>
              <w:t xml:space="preserve"> students’ understanding of place value.</w:t>
            </w:r>
            <w:r w:rsidR="005B78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They will use expanded form and include fractions (14.3 = 10 + 4 + 3/10). </w:t>
            </w:r>
            <w:r w:rsidRPr="00DF4697">
              <w:rPr>
                <w:rFonts w:ascii="Times New Roman" w:hAnsi="Times New Roman" w:cs="Times New Roman"/>
              </w:rPr>
              <w:t xml:space="preserve"> </w:t>
            </w:r>
            <w:r w:rsidR="005B789B">
              <w:rPr>
                <w:rFonts w:ascii="Times New Roman" w:hAnsi="Times New Roman" w:cs="Times New Roman"/>
              </w:rPr>
              <w:t xml:space="preserve">Students </w:t>
            </w:r>
            <w:r w:rsidRPr="00DF4697">
              <w:rPr>
                <w:rFonts w:ascii="Times New Roman" w:hAnsi="Times New Roman" w:cs="Times New Roman"/>
              </w:rPr>
              <w:t>build on th</w:t>
            </w:r>
            <w:r w:rsidR="005B789B">
              <w:rPr>
                <w:rFonts w:ascii="Times New Roman" w:hAnsi="Times New Roman" w:cs="Times New Roman"/>
              </w:rPr>
              <w:t>e</w:t>
            </w:r>
            <w:r w:rsidR="00534831">
              <w:rPr>
                <w:rFonts w:ascii="Times New Roman" w:hAnsi="Times New Roman" w:cs="Times New Roman"/>
              </w:rPr>
              <w:t>ir</w:t>
            </w:r>
            <w:r w:rsidR="005B789B">
              <w:rPr>
                <w:rFonts w:ascii="Times New Roman" w:hAnsi="Times New Roman" w:cs="Times New Roman"/>
              </w:rPr>
              <w:t xml:space="preserve"> understanding</w:t>
            </w:r>
            <w:r w:rsidR="00534831">
              <w:rPr>
                <w:rFonts w:ascii="Times New Roman" w:hAnsi="Times New Roman" w:cs="Times New Roman"/>
              </w:rPr>
              <w:t xml:space="preserve"> of place value</w:t>
            </w:r>
            <w:r w:rsidR="005B789B">
              <w:rPr>
                <w:rFonts w:ascii="Times New Roman" w:hAnsi="Times New Roman" w:cs="Times New Roman"/>
              </w:rPr>
              <w:t xml:space="preserve"> </w:t>
            </w:r>
            <w:r w:rsidRPr="00DF4697">
              <w:rPr>
                <w:rFonts w:ascii="Times New Roman" w:hAnsi="Times New Roman" w:cs="Times New Roman"/>
              </w:rPr>
              <w:t>to read, write, and compare decimals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97">
              <w:rPr>
                <w:rFonts w:ascii="Times New Roman" w:hAnsi="Times New Roman" w:cs="Times New Roman"/>
              </w:rPr>
              <w:t xml:space="preserve">thousandths.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97">
              <w:rPr>
                <w:rFonts w:ascii="Times New Roman" w:hAnsi="Times New Roman" w:cs="Times New Roman"/>
              </w:rPr>
              <w:t>They read decimals using fractional language and write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97">
              <w:rPr>
                <w:rFonts w:ascii="Times New Roman" w:hAnsi="Times New Roman" w:cs="Times New Roman"/>
              </w:rPr>
              <w:t>decimals in fractional form. Students need to understand the size of decimal numbers and relate them to common benchmarks such as 0, 0.</w:t>
            </w:r>
            <w:r w:rsidR="00534831">
              <w:rPr>
                <w:rFonts w:ascii="Times New Roman" w:hAnsi="Times New Roman" w:cs="Times New Roman"/>
              </w:rPr>
              <w:t xml:space="preserve">5, </w:t>
            </w:r>
            <w:r w:rsidRPr="00DF4697">
              <w:rPr>
                <w:rFonts w:ascii="Times New Roman" w:hAnsi="Times New Roman" w:cs="Times New Roman"/>
              </w:rPr>
              <w:t>and 1. Comparing tenths to tenths, hundredths to hundredths, and thousandths to thousandths 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831">
              <w:rPr>
                <w:rFonts w:ascii="Times New Roman" w:hAnsi="Times New Roman" w:cs="Times New Roman"/>
              </w:rPr>
              <w:t>made easier</w:t>
            </w:r>
            <w:r w:rsidRPr="00DF4697">
              <w:rPr>
                <w:rFonts w:ascii="Times New Roman" w:hAnsi="Times New Roman" w:cs="Times New Roman"/>
              </w:rPr>
              <w:t xml:space="preserve"> if students use their understanding of fractions to compare decimals.</w:t>
            </w:r>
          </w:p>
        </w:tc>
      </w:tr>
      <w:tr w:rsidR="00290CA3" w:rsidTr="0030249E">
        <w:tc>
          <w:tcPr>
            <w:tcW w:w="9576" w:type="dxa"/>
          </w:tcPr>
          <w:p w:rsidR="00290CA3" w:rsidRPr="00290CA3" w:rsidRDefault="00E47AB4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290CA3" w:rsidRPr="00290CA3">
              <w:rPr>
                <w:b/>
                <w:sz w:val="28"/>
                <w:szCs w:val="28"/>
              </w:rPr>
              <w:t>Strategies/Skills:</w:t>
            </w:r>
          </w:p>
          <w:p w:rsidR="00DF4697" w:rsidRDefault="00CE676F" w:rsidP="00DF4697">
            <w:p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 w:rsidR="005B789B">
              <w:rPr>
                <w:rFonts w:ascii="Times New Roman" w:hAnsi="Times New Roman" w:cs="Times New Roman"/>
              </w:rPr>
              <w:t>are expected to use a variety of methods and strategies to extend their understanding of decimals.</w:t>
            </w:r>
          </w:p>
          <w:p w:rsidR="005B789B" w:rsidRDefault="005B789B" w:rsidP="005B789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lines</w:t>
            </w:r>
          </w:p>
          <w:p w:rsidR="005B789B" w:rsidRDefault="005B789B" w:rsidP="005B789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 ten blocks</w:t>
            </w:r>
          </w:p>
          <w:p w:rsidR="005B789B" w:rsidRDefault="005B789B" w:rsidP="005B789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value charts</w:t>
            </w:r>
          </w:p>
          <w:p w:rsidR="005B789B" w:rsidRDefault="005B789B" w:rsidP="005B789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Grids</w:t>
            </w:r>
          </w:p>
          <w:p w:rsidR="00CE676F" w:rsidRPr="0053089D" w:rsidRDefault="005B789B" w:rsidP="0053089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Pictures/ drawings</w:t>
            </w:r>
          </w:p>
        </w:tc>
      </w:tr>
      <w:tr w:rsidR="00290CA3" w:rsidTr="00223180">
        <w:tc>
          <w:tcPr>
            <w:tcW w:w="9576" w:type="dxa"/>
          </w:tcPr>
          <w:p w:rsidR="00DE641B" w:rsidRDefault="00290CA3" w:rsidP="00DE641B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Video Support:</w:t>
            </w:r>
          </w:p>
          <w:p w:rsidR="00CE676F" w:rsidRPr="00DE641B" w:rsidRDefault="00DE641B" w:rsidP="00DE641B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DE641B">
              <w:rPr>
                <w:rFonts w:ascii="Times New Roman" w:hAnsi="Times New Roman" w:cs="Times New Roman"/>
              </w:rPr>
              <w:t>No videos referenced for this unit.</w:t>
            </w:r>
          </w:p>
        </w:tc>
      </w:tr>
      <w:tr w:rsidR="00290CA3" w:rsidTr="0012450F">
        <w:trPr>
          <w:trHeight w:val="1196"/>
        </w:trPr>
        <w:tc>
          <w:tcPr>
            <w:tcW w:w="9576" w:type="dxa"/>
          </w:tcPr>
          <w:p w:rsidR="00290CA3" w:rsidRP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Additional Resources:</w:t>
            </w:r>
          </w:p>
          <w:p w:rsidR="00CF329F" w:rsidRPr="00760BF8" w:rsidRDefault="00CF329F" w:rsidP="00CF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limited/no internet access, please contact your child’s teacher for hard copies of the resources listed in this document.</w:t>
            </w:r>
          </w:p>
          <w:p w:rsidR="00CE676F" w:rsidRPr="0012450F" w:rsidRDefault="003A127B" w:rsidP="009D76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NCDPI Unpacking Document: </w:t>
            </w:r>
            <w:hyperlink r:id="rId8" w:history="1">
              <w:r w:rsidR="009D7694" w:rsidRPr="009D7694">
                <w:rPr>
                  <w:rStyle w:val="Hyperlink"/>
                  <w:rFonts w:ascii="Times New Roman" w:hAnsi="Times New Roman" w:cs="Times New Roman"/>
                </w:rPr>
                <w:t>5</w:t>
              </w:r>
              <w:r w:rsidR="009D7694" w:rsidRPr="009D7694">
                <w:rPr>
                  <w:rStyle w:val="Hyperlink"/>
                  <w:rFonts w:ascii="Times New Roman" w:hAnsi="Times New Roman" w:cs="Times New Roman"/>
                  <w:vertAlign w:val="superscript"/>
                </w:rPr>
                <w:t>th</w:t>
              </w:r>
              <w:r w:rsidR="009D7694" w:rsidRPr="009D7694">
                <w:rPr>
                  <w:rStyle w:val="Hyperlink"/>
                  <w:rFonts w:ascii="Times New Roman" w:hAnsi="Times New Roman" w:cs="Times New Roman"/>
                </w:rPr>
                <w:t xml:space="preserve"> Grade Unpacking Document</w:t>
              </w:r>
            </w:hyperlink>
          </w:p>
        </w:tc>
      </w:tr>
    </w:tbl>
    <w:p w:rsidR="0069052E" w:rsidRDefault="0069052E"/>
    <w:sectPr w:rsidR="0069052E" w:rsidSect="001245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D7" w:rsidRDefault="00DA2BD7" w:rsidP="00290CA3">
      <w:pPr>
        <w:spacing w:after="0" w:line="240" w:lineRule="auto"/>
      </w:pPr>
      <w:r>
        <w:separator/>
      </w:r>
    </w:p>
  </w:endnote>
  <w:endnote w:type="continuationSeparator" w:id="0">
    <w:p w:rsidR="00DA2BD7" w:rsidRDefault="00DA2BD7" w:rsidP="0029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2" w:rsidRPr="003574D2" w:rsidRDefault="003574D2" w:rsidP="003574D2">
    <w:pPr>
      <w:pStyle w:val="Header"/>
      <w:rPr>
        <w:b/>
      </w:rPr>
    </w:pPr>
    <w:r w:rsidRPr="003574D2">
      <w:rPr>
        <w:b/>
      </w:rPr>
      <w:t>Wake County Public Schools, Unit Overview for Parents</w:t>
    </w:r>
  </w:p>
  <w:p w:rsidR="00290CA3" w:rsidRDefault="00290CA3">
    <w:pPr>
      <w:pStyle w:val="Footer"/>
    </w:pPr>
    <w:r w:rsidRPr="003574D2">
      <w:rPr>
        <w:i/>
      </w:rPr>
      <w:t>This do</w:t>
    </w:r>
    <w:r w:rsidR="001D3FF2" w:rsidRPr="003574D2">
      <w:rPr>
        <w:i/>
      </w:rPr>
      <w:t>cument should</w:t>
    </w:r>
    <w:r w:rsidRPr="003574D2">
      <w:rPr>
        <w:i/>
      </w:rPr>
      <w:t xml:space="preserve"> not replace on-going communication between teachers &amp; parents</w:t>
    </w:r>
    <w:r>
      <w:t>.</w:t>
    </w:r>
  </w:p>
  <w:p w:rsidR="00290CA3" w:rsidRDefault="0029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D7" w:rsidRDefault="00DA2BD7" w:rsidP="00290CA3">
      <w:pPr>
        <w:spacing w:after="0" w:line="240" w:lineRule="auto"/>
      </w:pPr>
      <w:r>
        <w:separator/>
      </w:r>
    </w:p>
  </w:footnote>
  <w:footnote w:type="continuationSeparator" w:id="0">
    <w:p w:rsidR="00DA2BD7" w:rsidRDefault="00DA2BD7" w:rsidP="0029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4EA"/>
    <w:multiLevelType w:val="hybridMultilevel"/>
    <w:tmpl w:val="8DB82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B0FBF"/>
    <w:multiLevelType w:val="hybridMultilevel"/>
    <w:tmpl w:val="87A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2DE4"/>
    <w:multiLevelType w:val="hybridMultilevel"/>
    <w:tmpl w:val="8A3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5CA"/>
    <w:multiLevelType w:val="hybridMultilevel"/>
    <w:tmpl w:val="7820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2C4"/>
    <w:multiLevelType w:val="hybridMultilevel"/>
    <w:tmpl w:val="2F368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55781"/>
    <w:multiLevelType w:val="hybridMultilevel"/>
    <w:tmpl w:val="928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B084F"/>
    <w:multiLevelType w:val="hybridMultilevel"/>
    <w:tmpl w:val="ECD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3006F"/>
    <w:multiLevelType w:val="hybridMultilevel"/>
    <w:tmpl w:val="8B8C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813"/>
    <w:multiLevelType w:val="hybridMultilevel"/>
    <w:tmpl w:val="695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15E9"/>
    <w:multiLevelType w:val="hybridMultilevel"/>
    <w:tmpl w:val="9A4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67F89"/>
    <w:multiLevelType w:val="hybridMultilevel"/>
    <w:tmpl w:val="014C3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5424B"/>
    <w:multiLevelType w:val="hybridMultilevel"/>
    <w:tmpl w:val="B80AFC02"/>
    <w:lvl w:ilvl="0" w:tplc="8B745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71BE8"/>
    <w:multiLevelType w:val="hybridMultilevel"/>
    <w:tmpl w:val="8FA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3"/>
    <w:rsid w:val="00044B28"/>
    <w:rsid w:val="0012450F"/>
    <w:rsid w:val="001D3FF2"/>
    <w:rsid w:val="00247B73"/>
    <w:rsid w:val="00290CA3"/>
    <w:rsid w:val="003574D2"/>
    <w:rsid w:val="003A127B"/>
    <w:rsid w:val="003C5062"/>
    <w:rsid w:val="00442939"/>
    <w:rsid w:val="00510DCE"/>
    <w:rsid w:val="00524DFA"/>
    <w:rsid w:val="0053089D"/>
    <w:rsid w:val="00534831"/>
    <w:rsid w:val="0055389E"/>
    <w:rsid w:val="005722FD"/>
    <w:rsid w:val="00573315"/>
    <w:rsid w:val="0059551B"/>
    <w:rsid w:val="005B789B"/>
    <w:rsid w:val="00616D67"/>
    <w:rsid w:val="0069052E"/>
    <w:rsid w:val="00691D82"/>
    <w:rsid w:val="006935DD"/>
    <w:rsid w:val="006A3FCF"/>
    <w:rsid w:val="006B72D6"/>
    <w:rsid w:val="007C37F8"/>
    <w:rsid w:val="007D04DE"/>
    <w:rsid w:val="0087147A"/>
    <w:rsid w:val="008B2103"/>
    <w:rsid w:val="008C55FA"/>
    <w:rsid w:val="009D7694"/>
    <w:rsid w:val="00C03F6A"/>
    <w:rsid w:val="00CE676F"/>
    <w:rsid w:val="00CF329F"/>
    <w:rsid w:val="00D12791"/>
    <w:rsid w:val="00DA24E9"/>
    <w:rsid w:val="00DA2BD7"/>
    <w:rsid w:val="00DE641B"/>
    <w:rsid w:val="00DF4697"/>
    <w:rsid w:val="00E07871"/>
    <w:rsid w:val="00E17BB3"/>
    <w:rsid w:val="00E47AB4"/>
    <w:rsid w:val="00E51FD2"/>
    <w:rsid w:val="00E91C45"/>
    <w:rsid w:val="00E973E7"/>
    <w:rsid w:val="00F67E4E"/>
    <w:rsid w:val="00F717BC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A3"/>
  </w:style>
  <w:style w:type="paragraph" w:styleId="Footer">
    <w:name w:val="footer"/>
    <w:basedOn w:val="Normal"/>
    <w:link w:val="Foot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A3"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2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21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210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DA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A3"/>
  </w:style>
  <w:style w:type="paragraph" w:styleId="Footer">
    <w:name w:val="footer"/>
    <w:basedOn w:val="Normal"/>
    <w:link w:val="Foot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A3"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2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21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210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DA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css.ncdpi.wikispaces.net/file/view/Unpacking%205%20July%202013.pdf/443030336/Unpacking%205%20July%2020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Tucker</dc:creator>
  <cp:lastModifiedBy>Erin Cole</cp:lastModifiedBy>
  <cp:revision>2</cp:revision>
  <dcterms:created xsi:type="dcterms:W3CDTF">2014-09-23T02:07:00Z</dcterms:created>
  <dcterms:modified xsi:type="dcterms:W3CDTF">2014-09-23T02:07:00Z</dcterms:modified>
</cp:coreProperties>
</file>